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left"/>
        <w:rPr>
          <w:rFonts w:hint="eastAsia" w:ascii="Times New Roman" w:hAnsi="Times New Roman" w:eastAsia="仿宋_GB2312" w:cs="Times New Roman"/>
          <w:sz w:val="22"/>
          <w:szCs w:val="22"/>
          <w:lang w:eastAsia="zh-CN"/>
        </w:rPr>
      </w:pPr>
    </w:p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jc w:val="center"/>
        <w:rPr>
          <w:rFonts w:hint="default" w:ascii="Times New Roman" w:hAnsi="Times New Roman" w:eastAsia="方正小标宋_GBK" w:cs="Times New Roman"/>
          <w:sz w:val="52"/>
          <w:szCs w:val="52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岳阳市民政局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整体支出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绩效自评报告</w:t>
      </w:r>
    </w:p>
    <w:p>
      <w:pPr>
        <w:jc w:val="center"/>
        <w:rPr>
          <w:rFonts w:hint="default" w:ascii="Times New Roman" w:hAnsi="Times New Roman" w:eastAsia="方正小标宋_GBK" w:cs="Times New Roman"/>
          <w:b/>
          <w:sz w:val="52"/>
          <w:szCs w:val="5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spacing w:line="600" w:lineRule="exact"/>
        <w:jc w:val="center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部门（单位）名称：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eastAsia="zh-CN"/>
        </w:rPr>
        <w:t>岳阳市民政局</w:t>
      </w:r>
    </w:p>
    <w:p>
      <w:pPr>
        <w:spacing w:line="600" w:lineRule="exact"/>
        <w:jc w:val="center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eastAsia" w:ascii="Times New Roman" w:hAnsi="Times New Roman" w:eastAsia="楷体_GB2312" w:cs="Times New Roman"/>
          <w:sz w:val="32"/>
          <w:szCs w:val="32"/>
          <w:lang w:val="en-US" w:eastAsia="zh-CN"/>
        </w:rPr>
        <w:t>2025</w:t>
      </w:r>
      <w:r>
        <w:rPr>
          <w:rFonts w:hint="default" w:ascii="Times New Roman" w:hAnsi="Times New Roman" w:eastAsia="楷体_GB2312" w:cs="Times New Roman"/>
          <w:sz w:val="32"/>
          <w:szCs w:val="32"/>
        </w:rPr>
        <w:t>年</w:t>
      </w:r>
      <w:r>
        <w:rPr>
          <w:rFonts w:hint="eastAsia" w:ascii="Times New Roman" w:hAnsi="Times New Roman" w:eastAsia="楷体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楷体_GB2312" w:cs="Times New Roman"/>
          <w:sz w:val="32"/>
          <w:szCs w:val="32"/>
        </w:rPr>
        <w:t>月</w:t>
      </w:r>
      <w:r>
        <w:rPr>
          <w:rFonts w:hint="eastAsia" w:ascii="Times New Roman" w:hAnsi="Times New Roman" w:eastAsia="楷体_GB2312" w:cs="Times New Roman"/>
          <w:sz w:val="32"/>
          <w:szCs w:val="32"/>
          <w:lang w:val="en-US" w:eastAsia="zh-CN"/>
        </w:rPr>
        <w:t>13</w:t>
      </w:r>
      <w:r>
        <w:rPr>
          <w:rFonts w:hint="default" w:ascii="Times New Roman" w:hAnsi="Times New Roman" w:eastAsia="楷体_GB2312" w:cs="Times New Roman"/>
          <w:sz w:val="32"/>
          <w:szCs w:val="32"/>
        </w:rPr>
        <w:t>日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br w:type="page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岳阳市民政局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整体支出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根据岳阳市预算绩效管理领导小组办公室《岳阳市财政局关于开展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2024年度市级预算支出绩效自评工作的通知》要求，我局组织各科室、直属单位，认真开展了2024年度单位市级财政预算资金绩效自评工作。现将自评工作开展及自评情况报告如下：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单位基本情况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单位职能职责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3" w:lineRule="atLeast"/>
        <w:ind w:left="0" w:right="0" w:firstLine="420"/>
        <w:jc w:val="both"/>
        <w:textAlignment w:val="center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1、制定全市民政事业中、长期发展规划和年度计划，研究制定全市民政工作有关政策、规章的实施细则与办法并负责组织实施检查。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3" w:lineRule="atLeast"/>
        <w:ind w:left="0" w:right="0" w:firstLine="420"/>
        <w:jc w:val="both"/>
        <w:textAlignment w:val="center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2、制定全市社会组织登记和监督管理办法并组织实施，依法对社会组织进行登记和执法监督。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3" w:lineRule="atLeast"/>
        <w:ind w:left="0" w:right="0" w:firstLine="420"/>
        <w:jc w:val="both"/>
        <w:textAlignment w:val="center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3、拟定全市社会救助政策、标准、统筹社会救助体系建设、负责城乡居民最低生活保障、特困人员救助供养、临时救助工作；负责农村敬老院建设工作；负责本行政区域内低收入家庭收入核查统计认定工作。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3" w:lineRule="atLeast"/>
        <w:ind w:left="0" w:right="0" w:firstLine="420"/>
        <w:jc w:val="both"/>
        <w:textAlignment w:val="center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4、拟定全市城乡基层群众自治建设和社区治理政策，指导组织城乡社区建设和服务管理，推动村（居）务公开和基层民主政治建设。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3" w:lineRule="atLeast"/>
        <w:ind w:left="0" w:right="0" w:firstLine="420"/>
        <w:jc w:val="both"/>
        <w:textAlignment w:val="center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5、贯彻执行国家关于地名工作的方针、政策、法律、法规；落实全国地名工作规划；承担本辖区地名的命名、更名、变更和政府驻地迁移审核工作；推行地名标准化、规范化；设置地名标志；管理地名档案；完成国家其他地名工作任务；负责行政区划界线的勘定和管理等具体工作；负责全市法定行政区划界线争议的调查和处理工作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3" w:lineRule="atLeast"/>
        <w:ind w:left="0" w:right="0" w:firstLine="420"/>
        <w:jc w:val="both"/>
        <w:textAlignment w:val="center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6、贯彻执行国家的婚姻登记、殡葬管理政策并组织实施；推进婚俗和殡葬改革；指导婚姻、殡葬服务机构管理工作；指导生活无着流浪乞讨人员救助站管理站的建设，协调跨省及跨市州的生活无着流浪乞讨人员救助工作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3" w:lineRule="atLeast"/>
        <w:ind w:left="0" w:right="0" w:firstLine="420"/>
        <w:jc w:val="both"/>
        <w:textAlignment w:val="center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7、制定全市社会福利事业发展规划；指导全市社会福利机构的建设和管理；拟定社会福利企业认定标准和扶持政策；指导老年人、残疾人等特殊群里的权益保障工作；统筹推进残疾人福利制度和康复辅助器具产业发展；拟定福利彩票发行管理具体实施办法并指导使用；组织拟定促进慈善事业发展规划、政策；组织、指导社会捐助工作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3" w:lineRule="atLeast"/>
        <w:ind w:left="0" w:right="0" w:firstLine="420"/>
        <w:jc w:val="both"/>
        <w:textAlignment w:val="center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8、拟定儿童福利、孤弃儿童保障、儿童收养、儿童救助保护的政策、标准，负责实施收养方面的法律、法规，健全农村留守儿童关爱服务体系和困境儿童保障制度。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3" w:lineRule="atLeast"/>
        <w:ind w:left="0" w:right="0" w:firstLine="420"/>
        <w:jc w:val="both"/>
        <w:textAlignment w:val="center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9、会同有关部门按拟定全市社会工作规范性文件草案和发展规划、职业规划，推进社会工作人才队伍建设和相关志愿者队伍建设；指导全市基层民政干部职工队伍建设；推进民政科技和民政行业标准化工作。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3" w:lineRule="atLeast"/>
        <w:ind w:left="0" w:right="0" w:firstLine="420"/>
        <w:jc w:val="both"/>
        <w:textAlignment w:val="center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10、负责全市民政事业经费的管理、审计和监督；负责民政统计工作。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3" w:lineRule="atLeast"/>
        <w:ind w:left="0" w:right="0" w:firstLine="420"/>
        <w:jc w:val="both"/>
        <w:textAlignment w:val="center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11、完成市委、市人民政府交办的其他事项。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3" w:lineRule="atLeast"/>
        <w:ind w:left="0" w:right="0" w:firstLine="800" w:firstLineChars="250"/>
        <w:jc w:val="both"/>
        <w:textAlignment w:val="center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（二）机构设置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420"/>
        <w:jc w:val="both"/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lang w:val="en-US" w:eastAsia="zh-CN" w:bidi="ar-SA"/>
        </w:rPr>
        <w:t>根据编委核定，我局内设科室12个，预算公开范围局机关。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420"/>
        <w:jc w:val="both"/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eastAsia="zh-CN"/>
        </w:rPr>
      </w:pP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lang w:val="en-US" w:eastAsia="zh-CN" w:bidi="ar-SA"/>
        </w:rPr>
        <w:t>内设科室分别是：办公室（信访科）、规划财务科、政策法规科(行政审批科）、社会组织管理科（社会组织执法监督局，对外称岳阳市社会组织管理局）、社会救助科（对外称岳阳市社会救助局）、社会事务科、区划地名和老区科、慈善事业促进科、养老服务科、儿童福利科、离退休人员管理服务科（人事科)、老龄工作科、机关党委(纪委）。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二、一般公共预算支出情况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（一）基本支出情况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lang w:val="en-US" w:eastAsia="zh-CN" w:bidi="ar-SA"/>
        </w:rPr>
        <w:t>2024年基本支出共1415.3万元。基本支出系保障我局机关机构正常运转、完成日常工作任务而发生的各项支出，包括用于在职和离退休人员基本工资、津贴补贴等人员经费以及办公费、印刷费、水电费、办公设备购置等日常公用经费。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项目支出情况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lang w:val="en-US"/>
        </w:rPr>
      </w:pP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lang w:val="en-US" w:eastAsia="zh-CN"/>
        </w:rPr>
        <w:t>2024年预算批复9个特定目标类项目，分别为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lang w:eastAsia="zh-CN"/>
        </w:rPr>
        <w:t>婚姻登记工作经费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lang w:val="en-US" w:eastAsia="zh-CN"/>
        </w:rPr>
        <w:t>10万元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lang w:eastAsia="zh-CN"/>
        </w:rPr>
        <w:t>、老区促进会经费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lang w:val="en-US" w:eastAsia="zh-CN"/>
        </w:rPr>
        <w:t>5万元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lang w:eastAsia="zh-CN"/>
        </w:rPr>
        <w:t>、其他民政事务管理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lang w:val="en-US" w:eastAsia="zh-CN"/>
        </w:rPr>
        <w:t>25万元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lang w:eastAsia="zh-CN"/>
        </w:rPr>
        <w:t>、社工工作经费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lang w:val="en-US" w:eastAsia="zh-CN"/>
        </w:rPr>
        <w:t>15万元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lang w:val="en-US" w:eastAsia="zh-CN"/>
        </w:rPr>
        <w:t>社会救助管理70万元、社会组织管理16.15万元、未成年人保护工作经费10万元、行政区划联检工作经费12万元、养老机构管理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lang w:eastAsia="zh-CN"/>
        </w:rPr>
        <w:t>方面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lang w:val="en-US" w:eastAsia="zh-CN"/>
        </w:rPr>
        <w:t>5万元，共168.15万元，2024年支出168.15万元。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政府性基金预算支出情况</w:t>
      </w:r>
    </w:p>
    <w:p>
      <w:pPr>
        <w:widowControl/>
        <w:spacing w:line="580" w:lineRule="exact"/>
        <w:ind w:firstLine="640" w:firstLineChars="200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bCs/>
          <w:snapToGrid w:val="0"/>
          <w:color w:val="auto"/>
          <w:kern w:val="0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bCs/>
          <w:snapToGrid w:val="0"/>
          <w:color w:val="auto"/>
          <w:kern w:val="0"/>
          <w:sz w:val="32"/>
          <w:szCs w:val="32"/>
          <w:lang w:val="en-US" w:eastAsia="zh-CN"/>
        </w:rPr>
        <w:t>24</w:t>
      </w:r>
      <w:r>
        <w:rPr>
          <w:rFonts w:ascii="Times New Roman" w:hAnsi="Times New Roman" w:eastAsia="仿宋_GB2312" w:cs="Times New Roman"/>
          <w:bCs/>
          <w:snapToGrid w:val="0"/>
          <w:color w:val="auto"/>
          <w:kern w:val="0"/>
          <w:sz w:val="32"/>
          <w:szCs w:val="32"/>
        </w:rPr>
        <w:t>年政府性基金预算支出</w:t>
      </w:r>
      <w:r>
        <w:rPr>
          <w:rFonts w:hint="eastAsia" w:ascii="Times New Roman" w:hAnsi="Times New Roman" w:eastAsia="仿宋_GB2312" w:cs="Times New Roman"/>
          <w:bCs/>
          <w:snapToGrid w:val="0"/>
          <w:color w:val="auto"/>
          <w:kern w:val="0"/>
          <w:sz w:val="32"/>
          <w:szCs w:val="32"/>
          <w:lang w:val="en-US" w:eastAsia="zh-CN"/>
        </w:rPr>
        <w:t>452.29</w:t>
      </w:r>
      <w:r>
        <w:rPr>
          <w:rFonts w:ascii="Times New Roman" w:hAnsi="Times New Roman" w:eastAsia="仿宋_GB2312" w:cs="Times New Roman"/>
          <w:bCs/>
          <w:snapToGrid w:val="0"/>
          <w:color w:val="auto"/>
          <w:kern w:val="0"/>
          <w:sz w:val="32"/>
          <w:szCs w:val="32"/>
        </w:rPr>
        <w:t>万元，其中商品和服务支出</w:t>
      </w:r>
      <w:r>
        <w:rPr>
          <w:rFonts w:hint="eastAsia" w:ascii="Times New Roman" w:hAnsi="Times New Roman" w:eastAsia="仿宋_GB2312" w:cs="Times New Roman"/>
          <w:bCs/>
          <w:snapToGrid w:val="0"/>
          <w:color w:val="auto"/>
          <w:kern w:val="0"/>
          <w:sz w:val="32"/>
          <w:szCs w:val="32"/>
          <w:lang w:val="en-US" w:eastAsia="zh-CN"/>
        </w:rPr>
        <w:t>341.13</w:t>
      </w:r>
      <w:r>
        <w:rPr>
          <w:rFonts w:ascii="Times New Roman" w:hAnsi="Times New Roman" w:eastAsia="仿宋_GB2312" w:cs="Times New Roman"/>
          <w:bCs/>
          <w:snapToGrid w:val="0"/>
          <w:color w:val="auto"/>
          <w:kern w:val="0"/>
          <w:sz w:val="32"/>
          <w:szCs w:val="32"/>
        </w:rPr>
        <w:t>万元，资本性支出</w:t>
      </w:r>
      <w:r>
        <w:rPr>
          <w:rFonts w:hint="eastAsia" w:ascii="Times New Roman" w:hAnsi="Times New Roman" w:eastAsia="仿宋_GB2312" w:cs="Times New Roman"/>
          <w:bCs/>
          <w:snapToGrid w:val="0"/>
          <w:color w:val="auto"/>
          <w:kern w:val="0"/>
          <w:sz w:val="32"/>
          <w:szCs w:val="32"/>
          <w:lang w:val="en-US" w:eastAsia="zh-CN"/>
        </w:rPr>
        <w:t>111.15</w:t>
      </w:r>
      <w:r>
        <w:rPr>
          <w:rFonts w:ascii="Times New Roman" w:hAnsi="Times New Roman" w:eastAsia="仿宋_GB2312" w:cs="Times New Roman"/>
          <w:bCs/>
          <w:snapToGrid w:val="0"/>
          <w:color w:val="auto"/>
          <w:kern w:val="0"/>
          <w:sz w:val="32"/>
          <w:szCs w:val="32"/>
        </w:rPr>
        <w:t>万元</w:t>
      </w:r>
      <w:r>
        <w:rPr>
          <w:rFonts w:hint="eastAsia" w:ascii="Times New Roman" w:hAnsi="Times New Roman" w:eastAsia="仿宋_GB2312" w:cs="Times New Roman"/>
          <w:bCs/>
          <w:snapToGrid w:val="0"/>
          <w:color w:val="auto"/>
          <w:kern w:val="0"/>
          <w:sz w:val="32"/>
          <w:szCs w:val="32"/>
          <w:lang w:eastAsia="zh-CN"/>
        </w:rPr>
        <w:t>。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四、国有资本经营预算支出情况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无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社会保险基金预算支出情况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 xml:space="preserve">    无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部门整体支出绩效情况</w:t>
      </w:r>
    </w:p>
    <w:p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年我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局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坚持以习近平新时代中国特色社会主义思想为指导，紧紧围绕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市委市政府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决策部署，牢记民政使命任务，坚持以人民为中心，坚持稳字当头、稳中求进，统筹发展与安全两件大事，守牢安全底线，聚焦乡村振兴，聚焦特殊群体，聚焦群众关切，积极履行基本民生保障、基层社会治理、基本社会服务职责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，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通过全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市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民政系统共同努力，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较好的完成了年初预期目标任务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。根据《部门整体支出绩效自评表》自评分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98.65</w:t>
      </w:r>
      <w:bookmarkStart w:id="0" w:name="_GoBack"/>
      <w:bookmarkEnd w:id="0"/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分（详见附件2），《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2024年度项目支出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绩效自评表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—婚姻登记工作经费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》自评分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分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、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《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2024年度项目支出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绩效自评表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—行政区划工作经费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》自评分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分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、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《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2024年度项目支出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绩效自评表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—其他民政事务管理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》自评分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分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、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《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2024年度项目支出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绩效自评表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—社工工作经费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》自评分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99.99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分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、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《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2024年度项目支出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绩效自评表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—社会救助管理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》自评分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分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、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《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2024年度项目支出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绩效自评表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—社会组织管理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》自评分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分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、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《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2024年度项目支出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绩效自评表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—养老机构管理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》自评分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分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、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《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2024年度项目支出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绩效自评表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—老区促进会经费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》自评分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分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、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《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2024年度项目支出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绩效自评表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—未成年人保护工作经费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》自评分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99.97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分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，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部门整体支出绩效为“优”。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七、存在的问题及原因分析</w:t>
      </w:r>
    </w:p>
    <w:p>
      <w:pPr>
        <w:pStyle w:val="4"/>
        <w:spacing w:line="580" w:lineRule="exact"/>
        <w:ind w:firstLine="640" w:firstLineChars="200"/>
      </w:pPr>
      <w:r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预算编制的准确性有待提高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，因我局部分</w:t>
      </w:r>
      <w:r>
        <w:rPr>
          <w:rFonts w:hint="eastAsia" w:ascii="Times New Roman" w:hAnsi="Times New Roman" w:cs="Times New Roman"/>
          <w:kern w:val="2"/>
          <w:sz w:val="32"/>
          <w:szCs w:val="32"/>
          <w:lang w:val="en-US" w:eastAsia="zh-CN" w:bidi="ar-SA"/>
        </w:rPr>
        <w:t>项目资金纳入财政代编资金，导致预算不够精准。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下一步改进措施</w:t>
      </w:r>
    </w:p>
    <w:p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加强部门预算管理，提高预算编制的精准性。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一是组织学习《</w:t>
      </w:r>
      <w:r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新预算法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》</w:t>
      </w:r>
      <w:r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，提高预算管理意识，进一步提高预算编制的全面性、精准性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。二是加强</w:t>
      </w:r>
      <w:r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和财政沟通，确保财政安排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的</w:t>
      </w:r>
      <w:r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预算拨款收入和其他收入都纳入年初预算，当预算与实际情况存在相对较大的偏离时，履行预算调整申报审批手续。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九、部门整体支出绩效自评结果拟应用和公开情况</w:t>
      </w:r>
    </w:p>
    <w:p>
      <w:pPr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kern w:val="2"/>
          <w:sz w:val="32"/>
        </w:rPr>
        <w:t>绩效自评结果将作为下年部门预算安排的重要依据，与预算调整和项目安排挂钩。拟于</w:t>
      </w:r>
      <w:r>
        <w:rPr>
          <w:rFonts w:hint="eastAsia" w:ascii="Times New Roman" w:hAnsi="Times New Roman" w:eastAsia="仿宋_GB2312" w:cs="Times New Roman"/>
          <w:kern w:val="2"/>
          <w:sz w:val="32"/>
          <w:lang w:val="en-US" w:eastAsia="zh-CN"/>
        </w:rPr>
        <w:t>7</w:t>
      </w:r>
      <w:r>
        <w:rPr>
          <w:rFonts w:ascii="Times New Roman" w:hAnsi="Times New Roman" w:eastAsia="仿宋_GB2312" w:cs="Times New Roman"/>
          <w:kern w:val="2"/>
          <w:sz w:val="32"/>
        </w:rPr>
        <w:t>月</w:t>
      </w:r>
      <w:r>
        <w:rPr>
          <w:rFonts w:hint="eastAsia" w:ascii="Times New Roman" w:hAnsi="Times New Roman" w:eastAsia="仿宋_GB2312" w:cs="Times New Roman"/>
          <w:kern w:val="2"/>
          <w:sz w:val="32"/>
          <w:lang w:val="en-US" w:eastAsia="zh-CN"/>
        </w:rPr>
        <w:t>31</w:t>
      </w:r>
      <w:r>
        <w:rPr>
          <w:rFonts w:ascii="Times New Roman" w:hAnsi="Times New Roman" w:eastAsia="仿宋_GB2312" w:cs="Times New Roman"/>
          <w:kern w:val="2"/>
          <w:sz w:val="32"/>
        </w:rPr>
        <w:t>日</w:t>
      </w:r>
      <w:r>
        <w:rPr>
          <w:rFonts w:hint="eastAsia" w:ascii="Times New Roman" w:hAnsi="Times New Roman" w:eastAsia="仿宋_GB2312" w:cs="Times New Roman"/>
          <w:kern w:val="2"/>
          <w:sz w:val="32"/>
        </w:rPr>
        <w:t>前</w:t>
      </w:r>
      <w:r>
        <w:rPr>
          <w:rFonts w:ascii="Times New Roman" w:hAnsi="Times New Roman" w:eastAsia="仿宋_GB2312" w:cs="Times New Roman"/>
          <w:kern w:val="2"/>
          <w:sz w:val="32"/>
        </w:rPr>
        <w:t>在民政</w:t>
      </w:r>
      <w:r>
        <w:rPr>
          <w:rFonts w:hint="eastAsia" w:ascii="Times New Roman" w:hAnsi="Times New Roman" w:eastAsia="仿宋_GB2312" w:cs="Times New Roman"/>
          <w:kern w:val="2"/>
          <w:sz w:val="32"/>
          <w:lang w:eastAsia="zh-CN"/>
        </w:rPr>
        <w:t>局</w:t>
      </w:r>
      <w:r>
        <w:rPr>
          <w:rFonts w:ascii="Times New Roman" w:hAnsi="Times New Roman" w:eastAsia="仿宋_GB2312" w:cs="Times New Roman"/>
          <w:kern w:val="2"/>
          <w:sz w:val="32"/>
        </w:rPr>
        <w:t>官网上公开，广泛接受群众监督。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部门整体支出绩效评价基础数据表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部门整体支出绩效自评表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项目支出绩效自评表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(共9个）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br w:type="page"/>
      </w: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</w:t>
      </w:r>
    </w:p>
    <w:p>
      <w:pPr>
        <w:spacing w:before="120" w:beforeLines="50" w:after="120" w:afterLines="50"/>
        <w:jc w:val="center"/>
        <w:rPr>
          <w:rFonts w:hint="eastAsia" w:ascii="方正小标宋简体" w:hAnsi="方正小标宋简体" w:eastAsia="方正小标宋简体" w:cs="方正小标宋简体"/>
          <w:spacing w:val="-6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部门整体支出</w:t>
      </w:r>
      <w:r>
        <w:rPr>
          <w:rFonts w:hint="eastAsia" w:ascii="方正小标宋简体" w:hAnsi="方正小标宋简体" w:eastAsia="方正小标宋简体" w:cs="方正小标宋简体"/>
          <w:spacing w:val="-6"/>
          <w:sz w:val="36"/>
          <w:szCs w:val="36"/>
        </w:rPr>
        <w:t>绩效自评工作考核评分表</w:t>
      </w:r>
    </w:p>
    <w:tbl>
      <w:tblPr>
        <w:tblStyle w:val="6"/>
        <w:tblW w:w="99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1174"/>
        <w:gridCol w:w="5000"/>
        <w:gridCol w:w="30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1"/>
                <w:szCs w:val="21"/>
              </w:rPr>
              <w:t>一级指标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1"/>
                <w:szCs w:val="21"/>
              </w:rPr>
              <w:t>二级指标</w:t>
            </w:r>
          </w:p>
        </w:tc>
        <w:tc>
          <w:tcPr>
            <w:tcW w:w="5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1"/>
                <w:szCs w:val="21"/>
              </w:rPr>
              <w:t>评分标准</w:t>
            </w:r>
          </w:p>
        </w:tc>
        <w:tc>
          <w:tcPr>
            <w:tcW w:w="3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1"/>
                <w:szCs w:val="21"/>
              </w:rPr>
              <w:t>所需佐证材料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布置工作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</w:p>
          <w:p>
            <w:pPr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10分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自评通知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（8分）</w:t>
            </w:r>
          </w:p>
        </w:tc>
        <w:tc>
          <w:tcPr>
            <w:tcW w:w="5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印发绩效自评通知的得2分，否则不得分。</w:t>
            </w:r>
          </w:p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按照本规程规定，绩效自评通知包括自评范围、自评主要依据、自评主要内容、自评程序和步骤、有关要求等内容，并附有本通知要求的附件的，得6分；否则缺1项扣1分，最多扣6分。</w:t>
            </w:r>
          </w:p>
        </w:tc>
        <w:tc>
          <w:tcPr>
            <w:tcW w:w="3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绩效自评通知盖章的电子版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工作小组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（2分）</w:t>
            </w:r>
          </w:p>
        </w:tc>
        <w:tc>
          <w:tcPr>
            <w:tcW w:w="5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成立绩效自评工作小组的得2分，否则不得分。</w:t>
            </w:r>
          </w:p>
        </w:tc>
        <w:tc>
          <w:tcPr>
            <w:tcW w:w="3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本部门、本单位预算绩效管理领导小组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0"/>
                <w:szCs w:val="20"/>
                <w:lang w:val="en-US" w:eastAsia="zh-CN"/>
              </w:rPr>
              <w:t>/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绩效评价工作小组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lang w:eastAsia="zh-CN"/>
              </w:rPr>
              <w:t>有关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0"/>
                <w:szCs w:val="20"/>
              </w:rPr>
              <w:t>文件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盖章的电子版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实施评价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20分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单位自查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（10分）</w:t>
            </w:r>
          </w:p>
        </w:tc>
        <w:tc>
          <w:tcPr>
            <w:tcW w:w="5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市级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预算部门本级和所属单位都要开展绩效自查，转移支付项目单位都要开展绩效自查，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县、区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级主管部门都要汇总本区域转移支付情况；以上各项每发现一个单位没有做相应工作的，扣1分，最多扣10分。</w:t>
            </w:r>
          </w:p>
        </w:tc>
        <w:tc>
          <w:tcPr>
            <w:tcW w:w="3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5"/>
              </w:num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转移支付项目单位名称和资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金情况清单</w:t>
            </w:r>
          </w:p>
          <w:p>
            <w:pPr>
              <w:numPr>
                <w:ilvl w:val="0"/>
                <w:numId w:val="5"/>
              </w:num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有转移支付资金的各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县区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主管部门汇总情况的盖章PDF版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提交报告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（10分）</w:t>
            </w:r>
          </w:p>
        </w:tc>
        <w:tc>
          <w:tcPr>
            <w:tcW w:w="80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按时向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市财政局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报送报告的得10分；每推迟一个工作日报送报告的扣1分，最多扣10分。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7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自评报告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70分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完整性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（15分）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绩效自评报告正文部分内容齐全的，得8分；否则每少一个部分扣2分，最多扣8分。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绩效自评报告附件部分内容齐全的，得7分；否则每少一个部分扣2分，最多扣7分。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3" w:hRule="atLeast"/>
          <w:jc w:val="center"/>
        </w:trPr>
        <w:tc>
          <w:tcPr>
            <w:tcW w:w="7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绩效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自评表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（20分）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1、部门整体支出和项目支出绩效指标反映产出、效益、服务对象满意度方面的指标和预算执行率的权重符合《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岳阳市市级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预算部门绩效自评操作规程》要求的，得5分，否则按比例扣除相应的分数。</w:t>
            </w:r>
          </w:p>
          <w:p>
            <w:pPr>
              <w:spacing w:line="240" w:lineRule="auto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部门整体支出和项目支出绩效指标全部细化到三级指标的，得5分；部分细化的，酌情扣分；没有细化的，不得分。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3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部门整体支出和项目支出三级绩效指标内涵明确、具体、可衡量的得5分；突出核心指标，精简实用的得3分；指标与部门整体支出和项目支出密切相关，全面反映产出和效益的得2分；否则，每项酌情扣分，最多扣10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7" w:hRule="atLeast"/>
          <w:jc w:val="center"/>
        </w:trPr>
        <w:tc>
          <w:tcPr>
            <w:tcW w:w="7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反映问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题情况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（20分）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从预算和预算绩效管理，部门履职效能，资金分配、使用和管理，资产和财务管理，政府采购等方面归纳问题、分析原因全面的，得20分；反映问题、分析原因较全面的，得16—18分；反映问题、分析原因不全面的，得13—15分；问题未归纳且过于简单的，得10—12分；只提出资金不足问题的不得分；其他情况酌情扣分。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7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建议情况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（15分）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建议与问题对应且全面的得15分，建议比较全面的得12—14分，建议不全面的得9—11分，建议过于简单的得6—8分，只提出加大资金投入建议的不得分；其他情况酌情扣分。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合计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100分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</w:tbl>
    <w:p/>
    <w:sectPr>
      <w:footerReference r:id="rId3" w:type="default"/>
      <w:pgSz w:w="11906" w:h="16838"/>
      <w:pgMar w:top="1587" w:right="1587" w:bottom="1587" w:left="1587" w:header="851" w:footer="992" w:gutter="0"/>
      <w:pgNumType w:fmt="decimal"/>
      <w:cols w:space="720" w:num="1"/>
      <w:rtlGutter w:val="0"/>
      <w:docGrid w:type="lines" w:linePitch="39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8F1AB00-7624-4999-BC01-DEDAF2D75F6A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CE116393-98DD-4271-A1B0-DC0F7665C044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C54B9233-F54C-49C6-ABF7-89C629DD89E6}"/>
  </w:font>
  <w:font w:name="方正小标宋_GBK">
    <w:panose1 w:val="02000000000000000000"/>
    <w:charset w:val="86"/>
    <w:family w:val="script"/>
    <w:pitch w:val="default"/>
    <w:sig w:usb0="00000000" w:usb1="00000000" w:usb2="00000000" w:usb3="00000000" w:csb0="00000000" w:csb1="00000000"/>
    <w:embedRegular r:id="rId4" w:fontKey="{B5CF3609-F521-480C-9190-4551F89E8325}"/>
  </w:font>
  <w:font w:name="方正小标宋简体">
    <w:panose1 w:val="02000000000000000000"/>
    <w:charset w:val="86"/>
    <w:family w:val="auto"/>
    <w:pitch w:val="default"/>
    <w:sig w:usb0="00000000" w:usb1="00000000" w:usb2="00000000" w:usb3="00000000" w:csb0="00000000" w:csb1="00000000"/>
    <w:embedRegular r:id="rId5" w:fontKey="{E494CFAC-277A-4170-94C7-C4231B30FE57}"/>
  </w:font>
  <w:font w:name="楷体_GB2312">
    <w:panose1 w:val="02010609030101010101"/>
    <w:charset w:val="86"/>
    <w:family w:val="modern"/>
    <w:pitch w:val="default"/>
    <w:sig w:usb0="00000000" w:usb1="00000000" w:usb2="00000000" w:usb3="00000000" w:csb0="00000000" w:csb1="00000000"/>
    <w:embedRegular r:id="rId6" w:fontKey="{EA7EBF48-6AE2-4488-ACEE-984E271585A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default" w:ascii="Times New Roman" w:hAnsi="Times New Roman" w:eastAsia="宋体" w:cs="Times New Roman"/>
                              <w:sz w:val="24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default" w:ascii="Times New Roman" w:hAnsi="Times New Roman" w:eastAsia="宋体" w:cs="Times New Roman"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t>—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5F42FF"/>
    <w:multiLevelType w:val="singleLevel"/>
    <w:tmpl w:val="9A5F42F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06FC23A"/>
    <w:multiLevelType w:val="singleLevel"/>
    <w:tmpl w:val="D06FC23A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02B924D0"/>
    <w:multiLevelType w:val="singleLevel"/>
    <w:tmpl w:val="02B924D0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0AC8921B"/>
    <w:multiLevelType w:val="singleLevel"/>
    <w:tmpl w:val="0AC8921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5DDF8822"/>
    <w:multiLevelType w:val="singleLevel"/>
    <w:tmpl w:val="5DDF882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xMzhiMDM3ZDMyZDNlNmIzNzE1NzQ0YmE3YzQzYmIifQ=="/>
  </w:docVars>
  <w:rsids>
    <w:rsidRoot w:val="244221D0"/>
    <w:rsid w:val="00DB7541"/>
    <w:rsid w:val="0366113A"/>
    <w:rsid w:val="03AC31EE"/>
    <w:rsid w:val="09392881"/>
    <w:rsid w:val="098E4FA0"/>
    <w:rsid w:val="10ED638F"/>
    <w:rsid w:val="13AA6413"/>
    <w:rsid w:val="1421732F"/>
    <w:rsid w:val="142B656C"/>
    <w:rsid w:val="15875F52"/>
    <w:rsid w:val="1B731EBB"/>
    <w:rsid w:val="1F6D3626"/>
    <w:rsid w:val="200643DE"/>
    <w:rsid w:val="22FF6D8E"/>
    <w:rsid w:val="23C35A13"/>
    <w:rsid w:val="244221D0"/>
    <w:rsid w:val="26501988"/>
    <w:rsid w:val="27225ADA"/>
    <w:rsid w:val="289136E1"/>
    <w:rsid w:val="2A4D6876"/>
    <w:rsid w:val="2D4A4E9D"/>
    <w:rsid w:val="304474B1"/>
    <w:rsid w:val="33F82E3F"/>
    <w:rsid w:val="342015F4"/>
    <w:rsid w:val="34A45FE9"/>
    <w:rsid w:val="35B10921"/>
    <w:rsid w:val="37214561"/>
    <w:rsid w:val="384B79B9"/>
    <w:rsid w:val="3C373E57"/>
    <w:rsid w:val="3E904FA0"/>
    <w:rsid w:val="40D73AB7"/>
    <w:rsid w:val="43041D8C"/>
    <w:rsid w:val="432950B6"/>
    <w:rsid w:val="444D6C56"/>
    <w:rsid w:val="468331CE"/>
    <w:rsid w:val="46895093"/>
    <w:rsid w:val="4A6D0948"/>
    <w:rsid w:val="4DC3281F"/>
    <w:rsid w:val="51817C32"/>
    <w:rsid w:val="53B36159"/>
    <w:rsid w:val="54492CA8"/>
    <w:rsid w:val="57611A41"/>
    <w:rsid w:val="57AB2CF3"/>
    <w:rsid w:val="59B56180"/>
    <w:rsid w:val="5A9046CE"/>
    <w:rsid w:val="5B606834"/>
    <w:rsid w:val="65CD68D7"/>
    <w:rsid w:val="68BE1248"/>
    <w:rsid w:val="6E4636F3"/>
    <w:rsid w:val="703948B7"/>
    <w:rsid w:val="77D64878"/>
    <w:rsid w:val="7A053A7A"/>
    <w:rsid w:val="7BB303CC"/>
    <w:rsid w:val="7EBC3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仿宋" w:hAnsi="仿宋" w:eastAsia="宋体" w:cs="Times New Roman"/>
      <w:kern w:val="0"/>
      <w:sz w:val="18"/>
      <w:szCs w:val="24"/>
      <w:lang w:val="en-US" w:eastAsia="zh-CN" w:bidi="ar-SA"/>
    </w:rPr>
  </w:style>
  <w:style w:type="paragraph" w:styleId="3">
    <w:name w:val="toa heading"/>
    <w:next w:val="1"/>
    <w:qFormat/>
    <w:uiPriority w:val="99"/>
    <w:pPr>
      <w:widowControl w:val="0"/>
      <w:spacing w:before="120" w:after="200" w:line="276" w:lineRule="auto"/>
      <w:jc w:val="both"/>
    </w:pPr>
    <w:rPr>
      <w:rFonts w:ascii="Arial" w:hAnsi="Arial" w:eastAsia="宋体" w:cs="Times New Roman"/>
      <w:kern w:val="2"/>
      <w:sz w:val="24"/>
      <w:szCs w:val="21"/>
      <w:lang w:val="en-US" w:eastAsia="zh-CN" w:bidi="ar-SA"/>
    </w:rPr>
  </w:style>
  <w:style w:type="paragraph" w:styleId="4">
    <w:name w:val="Body Text"/>
    <w:next w:val="1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4"/>
      <w:lang w:val="en-US" w:eastAsia="zh-CN" w:bidi="ar-SA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List Paragraph"/>
    <w:qFormat/>
    <w:uiPriority w:val="99"/>
    <w:pPr>
      <w:widowControl w:val="0"/>
      <w:ind w:firstLine="420" w:firstLineChars="200"/>
      <w:jc w:val="both"/>
    </w:pPr>
    <w:rPr>
      <w:rFonts w:ascii="Calibri" w:hAnsi="Calibri" w:eastAsia="宋体" w:cs="Times New Roman"/>
      <w:kern w:val="0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3683</Words>
  <Characters>3959</Characters>
  <Lines>0</Lines>
  <Paragraphs>0</Paragraphs>
  <TotalTime>1783</TotalTime>
  <ScaleCrop>false</ScaleCrop>
  <LinksUpToDate>false</LinksUpToDate>
  <CharactersWithSpaces>4796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2023-07-06T08:51:00Z</dcterms:created>
  <dc:creator>Administrator</dc:creator>
  <cp:lastModifiedBy>Administrator</cp:lastModifiedBy>
  <cp:lastPrinted>2024-06-28T07:41:00Z</cp:lastPrinted>
  <dcterms:modified xsi:type="dcterms:W3CDTF">2025-06-30T08:11:20Z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F8256C90674B49EC86D23DC41ECAEF6D</vt:lpwstr>
  </property>
</Properties>
</file>